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D9" w:rsidRDefault="00E805D9" w:rsidP="00E805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обоснование 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</w:t>
      </w:r>
    </w:p>
    <w:bookmarkEnd w:id="0"/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 xml:space="preserve"> Цель мониторинга -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 xml:space="preserve">Для принятия эффективных управленческих решений по совершенствованию качества дошкольного образования в </w:t>
      </w:r>
      <w:proofErr w:type="gramStart"/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Кировском  городском</w:t>
      </w:r>
      <w:proofErr w:type="gramEnd"/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 xml:space="preserve"> округе выделены цели по следующим направлениям: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- совершенствование качества образовательных программ дошкольного образования, а также повышение качества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развитие); повышение качества реализации адаптированных образовательных программ в ДОУ;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 xml:space="preserve">- повышение качества образовательных условий в ДОУ (кадровые условия, развивающая предметно-пространственная среда, </w:t>
      </w:r>
      <w:proofErr w:type="spellStart"/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психолого</w:t>
      </w:r>
      <w:proofErr w:type="spellEnd"/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 xml:space="preserve"> - педагогические условия);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- 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- обеспечение здоровья, безопасности и качества услуг по присмотру и уходу; повышение качества управления в ДОУ.</w:t>
      </w:r>
    </w:p>
    <w:p w:rsidR="00E805D9" w:rsidRPr="00BC39A1" w:rsidRDefault="00E805D9" w:rsidP="00E805D9">
      <w:pPr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1F2533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b/>
          <w:bCs/>
          <w:color w:val="1F2533"/>
          <w:sz w:val="24"/>
          <w:szCs w:val="24"/>
          <w:lang w:eastAsia="ru-RU"/>
        </w:rPr>
        <w:t>Обоснование выделения целей по направлениям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Необходимость выделения цели по направлению «Совершенствование качества образовательных программ дошкольного образования» обусловлена тем, что пункт 1.7, раздела I ФГОС ДО является основой для разработки образовательной программы дошкольного образования (далее - Программа).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В разделе II ФГОС ДО определены требования к структуре Программы и ее объему. Определение соответствия Программы требованиям ФГОС ДО позволяет оценить полноту и системность организации образовательного процесса в ДОУ.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Необходимость выделения цели по направлению «Повышение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развитие)» обусловлено требованиями пункта 2.6. раздела II ФГОС ДО.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Оценка данного направления позволит судить о содержании образования детей по пяти образовательным областям (социально—коммуникативное развитие, познавательное развитие, речевое развитие, художественно-эстетическое развитие, физическое развитие), прогнозировать развитие муниципальной системы дошкольного образования и принимать управленческие решения по обеспечению полноценного развития личности детей.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Необходимость выделения цели по направлению «Повышение качества реализации адаптированных основных образовательных программ в ДОУ» обусловлена статьей 5 «Закона об образовании в РФ» и пунктом 1.3. раздела 1 требований ФГОС ДО.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Оценка качества реализации адаптированных образовательных программ в ДОУ позволит прогнозировать развитие муниципальной системы дошкольного образования и принимать управленческие решения по обеспечению качественного дошкольного образования для детей с OB3 и детей-инвалидов.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lastRenderedPageBreak/>
        <w:t>Необходимость выделения цели по направлению «Повышение качества образовательных условий в ДОУ (кадровые условия, развивающая предметно-пространственная среда, психолого-педагогические условия)» обусловлена включением их (условий) в ФГОС ДО.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Оценка данных направления позволит судить о реализации раздела III ФГОС ДО «Требования к условиям реализации основной образовательной программы дошкольного образования» и конкретизировать содержание управленческих решений по кадровой политике, по развитию методической службы, обеспечивающей совершенствование психолого-педагогических условий в ДОУ, по оснащению образовательных организаций, реализующих программы дошкольного образования.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Выделение цели по направлению «Совершенствование качества по взаимодействию с семьей» (участие семьи в образовательной деятельности, удовлетворённость семьи образовательными услугами индивидуальная поддержка развития детей в семье) обусловлена необходимостью выполнения статьи 44 «Закона об образовании в РФ» (в ред. от 24.03.2021) раздела I, пункта 3.1. раздела III требований ФГОС ДО.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ДОУ с семьей.</w:t>
      </w:r>
    </w:p>
    <w:p w:rsidR="00E805D9" w:rsidRPr="00BC39A1" w:rsidRDefault="00E805D9" w:rsidP="00E805D9">
      <w:pPr>
        <w:spacing w:after="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Необходимость выделения цели по направлению «Обеспечение здоровья, безопасности и качества услуг по присмотру и уходу» обусловлена статьей 41 «Закона об образовании в РФ» (в ред. от 24.03.2021)</w:t>
      </w:r>
      <w:hyperlink r:id="rId4" w:tgtFrame="_top" w:history="1">
        <w:r w:rsidRPr="00BC39A1">
          <w:rPr>
            <w:rFonts w:ascii="Arial" w:eastAsia="Times New Roman" w:hAnsi="Arial" w:cs="Arial"/>
            <w:b/>
            <w:bCs/>
            <w:color w:val="3292CD"/>
            <w:sz w:val="24"/>
            <w:szCs w:val="24"/>
            <w:lang w:eastAsia="ru-RU"/>
          </w:rPr>
          <w:t>,</w:t>
        </w:r>
      </w:hyperlink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 требованиями ФГОС ДО.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ДОУ.</w:t>
      </w:r>
    </w:p>
    <w:p w:rsidR="00E805D9" w:rsidRPr="00BC39A1" w:rsidRDefault="00E805D9" w:rsidP="00E805D9">
      <w:pPr>
        <w:spacing w:before="180" w:after="180" w:line="240" w:lineRule="auto"/>
        <w:jc w:val="both"/>
        <w:rPr>
          <w:rFonts w:ascii="Arial" w:eastAsia="Times New Roman" w:hAnsi="Arial" w:cs="Arial"/>
          <w:color w:val="303A4F"/>
          <w:sz w:val="24"/>
          <w:szCs w:val="24"/>
          <w:lang w:eastAsia="ru-RU"/>
        </w:rPr>
      </w:pPr>
      <w:r w:rsidRPr="00BC39A1">
        <w:rPr>
          <w:rFonts w:ascii="Arial" w:eastAsia="Times New Roman" w:hAnsi="Arial" w:cs="Arial"/>
          <w:color w:val="303A4F"/>
          <w:sz w:val="24"/>
          <w:szCs w:val="24"/>
          <w:lang w:eastAsia="ru-RU"/>
        </w:rPr>
        <w:t>Необходимость выделения цели по направлению «Повышение качества управления в ДОУ» обусловлена статьями 28, 30, 86, 90, 95, 97 «Закона об образовании в РФ», требованиями ФГОС ДО.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ДОУ.</w:t>
      </w:r>
    </w:p>
    <w:p w:rsidR="00E805D9" w:rsidRPr="00BC39A1" w:rsidRDefault="00E805D9" w:rsidP="00E805D9">
      <w:pPr>
        <w:shd w:val="clear" w:color="auto" w:fill="FFFFFF"/>
        <w:spacing w:after="0" w:line="317" w:lineRule="exact"/>
        <w:jc w:val="both"/>
        <w:rPr>
          <w:rFonts w:ascii="Arial" w:hAnsi="Arial" w:cs="Arial"/>
          <w:b/>
          <w:bCs/>
          <w:color w:val="1F2533"/>
          <w:sz w:val="24"/>
          <w:szCs w:val="24"/>
        </w:rPr>
      </w:pPr>
      <w:r w:rsidRPr="00BC39A1">
        <w:rPr>
          <w:rFonts w:ascii="Arial" w:hAnsi="Arial" w:cs="Arial"/>
          <w:b/>
          <w:bCs/>
          <w:color w:val="1F2533"/>
          <w:sz w:val="24"/>
          <w:szCs w:val="24"/>
        </w:rPr>
        <w:t>Критерии показателей качества дошкольного образования в Кировском городском округе</w:t>
      </w:r>
    </w:p>
    <w:p w:rsidR="00E805D9" w:rsidRPr="00BC39A1" w:rsidRDefault="00E805D9" w:rsidP="00E805D9">
      <w:pPr>
        <w:shd w:val="clear" w:color="auto" w:fill="FFFFFF"/>
        <w:spacing w:after="0" w:line="317" w:lineRule="exact"/>
        <w:jc w:val="both"/>
        <w:rPr>
          <w:rFonts w:ascii="Arial" w:hAnsi="Arial" w:cs="Arial"/>
          <w:b/>
          <w:color w:val="1F2533"/>
          <w:sz w:val="24"/>
          <w:szCs w:val="24"/>
        </w:rPr>
      </w:pPr>
    </w:p>
    <w:tbl>
      <w:tblPr>
        <w:tblW w:w="9788" w:type="dxa"/>
        <w:tblInd w:w="127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8"/>
        <w:gridCol w:w="1984"/>
        <w:gridCol w:w="1150"/>
      </w:tblGrid>
      <w:tr w:rsidR="00E805D9" w:rsidRPr="00BC39A1" w:rsidTr="00E805D9">
        <w:trPr>
          <w:trHeight w:val="44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3134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</w:tr>
      <w:tr w:rsidR="00E805D9" w:rsidRPr="00BC39A1" w:rsidTr="00E805D9">
        <w:trPr>
          <w:trHeight w:val="110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  <w:t>1.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Количество ДОУ, в которых полностью подтвержден данный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</w:tr>
      <w:tr w:rsidR="00E805D9" w:rsidRPr="00BC39A1" w:rsidTr="00E805D9">
        <w:trPr>
          <w:trHeight w:val="1105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Наличие основной образовательной программы дошкольного образования, разработанной и утвержденной в ДОУ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E805D9">
        <w:trPr>
          <w:trHeight w:val="122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Соответствие образовательной программы дошкольного образования ДОУ,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E805D9">
        <w:trPr>
          <w:trHeight w:val="1105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lastRenderedPageBreak/>
              <w:t>1.3.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Наличие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рабочих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программ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ДОУ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E805D9">
        <w:trPr>
          <w:trHeight w:val="1931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Наличие в рабочих программах педагогов ДОУ содержания по образовательным областям: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«Социально-коммуникативное развитие»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«Познавательное развитие»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«Речевое развитие»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«Художественно - эстетическое развитие»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«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Физическое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развитие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E805D9">
        <w:trPr>
          <w:trHeight w:val="1105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Наличие ДОУ, реализующих АОП ДО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E805D9">
        <w:trPr>
          <w:trHeight w:val="110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1.6.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Соответствие АОП ДО, разработанных и утвержденных в ДОУ, требованиям ФГОС ДО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E805D9">
        <w:trPr>
          <w:trHeight w:val="411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  <w:t>2.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Количество ДОУ, в которых полностью подтвержден данный</w:t>
            </w:r>
          </w:p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</w:tr>
      <w:tr w:rsidR="00E805D9" w:rsidRPr="00BC39A1" w:rsidTr="00E805D9">
        <w:trPr>
          <w:trHeight w:val="366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</w:p>
        </w:tc>
        <w:tc>
          <w:tcPr>
            <w:tcW w:w="8972" w:type="dxa"/>
            <w:gridSpan w:val="3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КАДРОВЫЕ УСЛОВИЯ:</w:t>
            </w:r>
          </w:p>
        </w:tc>
      </w:tr>
      <w:tr w:rsidR="00E805D9" w:rsidRPr="00BC39A1" w:rsidTr="00E805D9">
        <w:trPr>
          <w:trHeight w:val="551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Обеспеченность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ДОУ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педагогическими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кадрами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150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</w:tbl>
    <w:p w:rsidR="00E805D9" w:rsidRPr="00BC39A1" w:rsidRDefault="00E805D9" w:rsidP="00E805D9">
      <w:pPr>
        <w:shd w:val="clear" w:color="auto" w:fill="FFFFFF"/>
        <w:spacing w:after="0" w:line="317" w:lineRule="exact"/>
        <w:jc w:val="both"/>
        <w:rPr>
          <w:rFonts w:ascii="Arial" w:hAnsi="Arial" w:cs="Arial"/>
          <w:color w:val="1F2533"/>
          <w:sz w:val="24"/>
          <w:szCs w:val="24"/>
        </w:rPr>
        <w:sectPr w:rsidR="00E805D9" w:rsidRPr="00BC39A1" w:rsidSect="00BC39A1">
          <w:pgSz w:w="11910" w:h="16840"/>
          <w:pgMar w:top="900" w:right="620" w:bottom="583" w:left="960" w:header="720" w:footer="720" w:gutter="0"/>
          <w:cols w:space="720"/>
        </w:sectPr>
      </w:pPr>
    </w:p>
    <w:tbl>
      <w:tblPr>
        <w:tblW w:w="10513" w:type="dxa"/>
        <w:tblInd w:w="127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8"/>
        <w:gridCol w:w="1984"/>
        <w:gridCol w:w="1875"/>
      </w:tblGrid>
      <w:tr w:rsidR="00E805D9" w:rsidRPr="00BC39A1" w:rsidTr="007B453A">
        <w:trPr>
          <w:trHeight w:val="1378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Наличие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первой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квалификационной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  <w:tr w:rsidR="00E805D9" w:rsidRPr="00BC39A1" w:rsidTr="007B453A">
        <w:trPr>
          <w:trHeight w:val="1380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Наличие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высшей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квалификационной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  <w:tr w:rsidR="00E805D9" w:rsidRPr="00BC39A1" w:rsidTr="007B453A">
        <w:trPr>
          <w:trHeight w:val="1378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2.4.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Наличие у педагогических работников высшего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образо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вания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(по профилю деятельности)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  <w:tr w:rsidR="00E805D9" w:rsidRPr="00BC39A1" w:rsidTr="007B453A">
        <w:trPr>
          <w:trHeight w:val="1380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lastRenderedPageBreak/>
              <w:t>2.5.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Своевременность повышения квалификации педагогов       и руководителей ДОУ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  <w:tr w:rsidR="00E805D9" w:rsidRPr="00BC39A1" w:rsidTr="007B453A">
        <w:trPr>
          <w:trHeight w:val="1378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2.6.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Наличие </w:t>
            </w:r>
            <w:proofErr w:type="gram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у руководителя</w:t>
            </w:r>
            <w:proofErr w:type="gram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требуемого профессионально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го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  <w:tr w:rsidR="00E805D9" w:rsidRPr="00BC39A1" w:rsidTr="007B453A">
        <w:trPr>
          <w:trHeight w:val="827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2.7.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Нагрузка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на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3859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Соотношение между </w:t>
            </w:r>
            <w:proofErr w:type="spellStart"/>
            <w:proofErr w:type="gram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количе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-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ством</w:t>
            </w:r>
            <w:proofErr w:type="spellEnd"/>
            <w:proofErr w:type="gram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воспитанников и коли-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чеством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педагогов в ДОУ</w:t>
            </w:r>
          </w:p>
        </w:tc>
      </w:tr>
      <w:tr w:rsidR="00E805D9" w:rsidRPr="00BC39A1" w:rsidTr="007B453A">
        <w:trPr>
          <w:trHeight w:val="827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РАЗВИВАЮЩАЯ</w:t>
            </w: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ab/>
              <w:t>ПРЕДМЕТНО-ПРОСТРАНСТВЕННАЯ СРЕДА: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Количество ДОУ, в которых полностью подтвержден данный показатель</w:t>
            </w:r>
          </w:p>
        </w:tc>
      </w:tr>
      <w:tr w:rsidR="00E805D9" w:rsidRPr="00BC39A1" w:rsidTr="007B453A">
        <w:trPr>
          <w:trHeight w:val="1104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2.8.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Содержательная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насыщенность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2.9.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Трансформируемость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пространства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4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2.10.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Полифункциональность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пространства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3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Вариативность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4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2.12.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Доступность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</w:tbl>
    <w:p w:rsidR="00E805D9" w:rsidRPr="00BC39A1" w:rsidRDefault="00E805D9" w:rsidP="00E805D9">
      <w:pPr>
        <w:shd w:val="clear" w:color="auto" w:fill="FFFFFF"/>
        <w:spacing w:after="0" w:line="317" w:lineRule="exact"/>
        <w:jc w:val="both"/>
        <w:rPr>
          <w:rFonts w:ascii="Arial" w:hAnsi="Arial" w:cs="Arial"/>
          <w:color w:val="1F2533"/>
          <w:sz w:val="24"/>
          <w:szCs w:val="24"/>
        </w:rPr>
        <w:sectPr w:rsidR="00E805D9" w:rsidRPr="00BC39A1">
          <w:type w:val="continuous"/>
          <w:pgSz w:w="11910" w:h="16840"/>
          <w:pgMar w:top="600" w:right="620" w:bottom="280" w:left="960" w:header="720" w:footer="720" w:gutter="0"/>
          <w:cols w:space="720"/>
        </w:sectPr>
      </w:pPr>
    </w:p>
    <w:tbl>
      <w:tblPr>
        <w:tblW w:w="10513" w:type="dxa"/>
        <w:tblInd w:w="127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8"/>
        <w:gridCol w:w="1984"/>
        <w:gridCol w:w="1875"/>
      </w:tblGrid>
      <w:tr w:rsidR="00E805D9" w:rsidRPr="00BC39A1" w:rsidTr="007B453A">
        <w:trPr>
          <w:trHeight w:val="1105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lastRenderedPageBreak/>
              <w:t>2.13.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предметно-пространственной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ПСИХОЛОГО - ПЕДАГОГИЧЕСКИЕ УСЛОВИЯ: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Количество ДОУ, в которых полностью подтвержден </w:t>
            </w:r>
            <w:proofErr w:type="gram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дан-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ный</w:t>
            </w:r>
            <w:proofErr w:type="spellEnd"/>
            <w:proofErr w:type="gram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показатель</w:t>
            </w:r>
          </w:p>
        </w:tc>
      </w:tr>
      <w:tr w:rsidR="00E805D9" w:rsidRPr="00BC39A1" w:rsidTr="007B453A">
        <w:trPr>
          <w:trHeight w:val="1105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2.14.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Уважение взрослых к человеческому достоинству де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тей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, формирование и поддержка их положительной самооценки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3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2.15.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в числах абсолютных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чис</w:t>
            </w:r>
            <w:proofErr w:type="spell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лах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4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2.16.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  <w:t>3.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Количество ДОУ, в которых полностью подтвержден </w:t>
            </w:r>
            <w:proofErr w:type="gram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дан- </w:t>
            </w:r>
            <w:proofErr w:type="spellStart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ный</w:t>
            </w:r>
            <w:proofErr w:type="spellEnd"/>
            <w:proofErr w:type="gramEnd"/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 xml:space="preserve"> показатель</w:t>
            </w:r>
          </w:p>
        </w:tc>
      </w:tr>
      <w:tr w:rsidR="00E805D9" w:rsidRPr="00BC39A1" w:rsidTr="007B453A">
        <w:trPr>
          <w:trHeight w:val="1380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Наличие нормативно-правовых документов, регламентирующих взаимодействие ДОУ с семьей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по штатному расписанию</w:t>
            </w:r>
          </w:p>
        </w:tc>
      </w:tr>
      <w:tr w:rsidR="00E805D9" w:rsidRPr="00BC39A1" w:rsidTr="007B453A">
        <w:trPr>
          <w:trHeight w:val="1378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Наличие единого информационного пространства взаимодействия ДОУ с семьей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работающих в ДОУ</w:t>
            </w:r>
          </w:p>
        </w:tc>
      </w:tr>
      <w:tr w:rsidR="00E805D9" w:rsidRPr="00BC39A1" w:rsidTr="007B453A">
        <w:trPr>
          <w:trHeight w:val="1104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3.3.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Удовлетворенность семьи образовательными услугами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110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  <w:lang w:val="en-US"/>
              </w:rPr>
              <w:t>3.4.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1984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в числах абсолютных числах</w:t>
            </w:r>
          </w:p>
        </w:tc>
        <w:tc>
          <w:tcPr>
            <w:tcW w:w="1875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color w:val="1F2533"/>
                <w:sz w:val="24"/>
                <w:szCs w:val="24"/>
              </w:rPr>
              <w:t>Доля в % от общего количества ДОУ</w:t>
            </w:r>
          </w:p>
        </w:tc>
      </w:tr>
      <w:tr w:rsidR="00E805D9" w:rsidRPr="00BC39A1" w:rsidTr="007B453A">
        <w:trPr>
          <w:trHeight w:val="552"/>
        </w:trPr>
        <w:tc>
          <w:tcPr>
            <w:tcW w:w="816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  <w:lang w:val="en-US"/>
              </w:rPr>
              <w:t>4.</w:t>
            </w:r>
          </w:p>
        </w:tc>
        <w:tc>
          <w:tcPr>
            <w:tcW w:w="5838" w:type="dxa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b/>
                <w:color w:val="1F2533"/>
                <w:sz w:val="24"/>
                <w:szCs w:val="24"/>
              </w:rPr>
            </w:pP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</w:rPr>
              <w:t>Обеспечение</w:t>
            </w: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</w:rPr>
              <w:tab/>
              <w:t>здоровья.</w:t>
            </w:r>
            <w:r w:rsidRPr="00BC39A1">
              <w:rPr>
                <w:rFonts w:ascii="Arial" w:hAnsi="Arial" w:cs="Arial"/>
                <w:b/>
                <w:color w:val="1F2533"/>
                <w:sz w:val="24"/>
                <w:szCs w:val="24"/>
              </w:rPr>
              <w:tab/>
              <w:t>Безопасности качеству         услуг по присмотру и уходу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E805D9" w:rsidRPr="00BC39A1" w:rsidRDefault="00E805D9" w:rsidP="007B453A">
            <w:pPr>
              <w:shd w:val="clear" w:color="auto" w:fill="FFFFFF"/>
              <w:spacing w:after="0" w:line="317" w:lineRule="exact"/>
              <w:jc w:val="both"/>
              <w:rPr>
                <w:rFonts w:ascii="Arial" w:hAnsi="Arial" w:cs="Arial"/>
                <w:color w:val="1F2533"/>
                <w:sz w:val="24"/>
                <w:szCs w:val="24"/>
              </w:rPr>
            </w:pPr>
          </w:p>
        </w:tc>
      </w:tr>
    </w:tbl>
    <w:p w:rsidR="007A64A1" w:rsidRDefault="007A64A1"/>
    <w:sectPr w:rsidR="007A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D9"/>
    <w:rsid w:val="007A64A1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0DA3-2E37-4E5D-852B-18BA99C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D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iisultant.ru/document/consdocLAW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2021-06-19T12:43:00Z</dcterms:created>
  <dcterms:modified xsi:type="dcterms:W3CDTF">2021-06-19T12:44:00Z</dcterms:modified>
</cp:coreProperties>
</file>